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37F0C" w14:textId="7F0D021D" w:rsidR="00E606B5" w:rsidRPr="00013AE3" w:rsidRDefault="00E606B5" w:rsidP="00E606B5">
      <w:pPr>
        <w:jc w:val="center"/>
        <w:rPr>
          <w:b/>
          <w:bCs/>
          <w:sz w:val="28"/>
          <w:szCs w:val="28"/>
          <w:lang w:val="en-US"/>
        </w:rPr>
      </w:pPr>
      <w:r w:rsidRPr="00013AE3">
        <w:rPr>
          <w:b/>
          <w:bCs/>
          <w:sz w:val="28"/>
          <w:szCs w:val="28"/>
          <w:lang w:val="en-US"/>
        </w:rPr>
        <w:t>202</w:t>
      </w:r>
      <w:r>
        <w:rPr>
          <w:b/>
          <w:bCs/>
          <w:sz w:val="28"/>
          <w:szCs w:val="28"/>
          <w:lang w:val="en-US"/>
        </w:rPr>
        <w:t>5</w:t>
      </w:r>
      <w:r w:rsidRPr="00013AE3">
        <w:rPr>
          <w:b/>
          <w:bCs/>
          <w:sz w:val="28"/>
          <w:szCs w:val="28"/>
          <w:lang w:val="en-US"/>
        </w:rPr>
        <w:t>-2</w:t>
      </w:r>
      <w:r>
        <w:rPr>
          <w:b/>
          <w:bCs/>
          <w:sz w:val="28"/>
          <w:szCs w:val="28"/>
          <w:lang w:val="en-US"/>
        </w:rPr>
        <w:t>6</w:t>
      </w:r>
      <w:r w:rsidRPr="00013AE3">
        <w:rPr>
          <w:b/>
          <w:bCs/>
          <w:sz w:val="28"/>
          <w:szCs w:val="28"/>
          <w:lang w:val="en-US"/>
        </w:rPr>
        <w:t xml:space="preserve"> RSF Investment Stories</w:t>
      </w:r>
    </w:p>
    <w:p w14:paraId="1D9C5D4D" w14:textId="77777777" w:rsidR="00E606B5" w:rsidRPr="005645D9" w:rsidRDefault="00E606B5" w:rsidP="00E606B5">
      <w:pPr>
        <w:rPr>
          <w:rFonts w:eastAsia="Times New Roman" w:cs="Times New Roman"/>
          <w:b/>
          <w:bCs/>
          <w:color w:val="000000"/>
          <w:kern w:val="0"/>
          <w14:ligatures w14:val="none"/>
        </w:rPr>
      </w:pPr>
      <w:r w:rsidRPr="005645D9">
        <w:rPr>
          <w:rFonts w:eastAsia="Times New Roman" w:cs="Times New Roman"/>
          <w:b/>
          <w:bCs/>
          <w:color w:val="000000"/>
          <w:kern w:val="0"/>
          <w14:ligatures w14:val="none"/>
        </w:rPr>
        <w:t>Investment Story #1</w:t>
      </w:r>
    </w:p>
    <w:p w14:paraId="6EF028F1" w14:textId="34C0E831" w:rsidR="007D5B98" w:rsidRDefault="000E7395">
      <w:pPr>
        <w:rPr>
          <w:b/>
          <w:bCs/>
          <w:sz w:val="28"/>
          <w:szCs w:val="28"/>
          <w:lang w:val="en-US"/>
        </w:rPr>
      </w:pPr>
      <w:r>
        <w:rPr>
          <w:b/>
          <w:bCs/>
          <w:sz w:val="28"/>
          <w:szCs w:val="28"/>
          <w:lang w:val="en-US"/>
        </w:rPr>
        <w:t xml:space="preserve">Sustaining </w:t>
      </w:r>
      <w:r w:rsidR="0003755B">
        <w:rPr>
          <w:b/>
          <w:bCs/>
          <w:sz w:val="28"/>
          <w:szCs w:val="28"/>
          <w:lang w:val="en-US"/>
        </w:rPr>
        <w:t xml:space="preserve">Research Administration </w:t>
      </w:r>
      <w:r w:rsidR="00057658">
        <w:rPr>
          <w:b/>
          <w:bCs/>
          <w:sz w:val="28"/>
          <w:szCs w:val="28"/>
          <w:lang w:val="en-US"/>
        </w:rPr>
        <w:t>System</w:t>
      </w:r>
      <w:r>
        <w:rPr>
          <w:b/>
          <w:bCs/>
          <w:sz w:val="28"/>
          <w:szCs w:val="28"/>
          <w:lang w:val="en-US"/>
        </w:rPr>
        <w:t xml:space="preserve"> through RSF</w:t>
      </w:r>
    </w:p>
    <w:p w14:paraId="4B995ADE" w14:textId="7043AA7B" w:rsidR="004D738C" w:rsidRDefault="00F46AB2">
      <w:pPr>
        <w:rPr>
          <w:lang w:eastAsia="en-CA"/>
        </w:rPr>
      </w:pPr>
      <w:r>
        <w:rPr>
          <w:color w:val="000000"/>
        </w:rPr>
        <w:t>The Research Support Fund has been instrumental in strengthening TRU’s capacity to manage research grants, contracts, and compliance requirements through Romeo, the university’s electronic research administration system. This investment supports the continuity and reliability of core administrative processes for researchers, Research Services staff, and other stakeholders across the research enterprise.</w:t>
      </w:r>
    </w:p>
    <w:p w14:paraId="1196FC6B" w14:textId="009C6AEE" w:rsidR="004D738C" w:rsidRDefault="00C55F4A">
      <w:pPr>
        <w:rPr>
          <w:lang w:eastAsia="en-CA"/>
        </w:rPr>
      </w:pPr>
      <w:r>
        <w:rPr>
          <w:color w:val="000000"/>
        </w:rPr>
        <w:t>Romeo provides the system functions needed to administer external and internal grants, human ethics, animal care, and biohazard applications. Its functionality includes researchers submitting research and compliance applications through the research portal and receiving communications for post-award milestones, including renewal alerts. Research Services staff and faculty committees move internal grants and research ethics and animal approval forms through review; track internal grant reports; preserve institutional records; and run analytics. These functions are essential to a strong research environment, enabling timely access to funding, institutional accountability, and compliance with funder and university requirements.</w:t>
      </w:r>
    </w:p>
    <w:p w14:paraId="13A3D262" w14:textId="02DE1D60" w:rsidR="00E606B5" w:rsidRDefault="00C55F4A" w:rsidP="00941CE7">
      <w:pPr>
        <w:rPr>
          <w:b/>
          <w:bCs/>
          <w:sz w:val="28"/>
          <w:szCs w:val="28"/>
          <w:lang w:val="en-US"/>
        </w:rPr>
      </w:pPr>
      <w:r>
        <w:rPr>
          <w:color w:val="000000"/>
        </w:rPr>
        <w:t xml:space="preserve">The impact of this investment is direct and practical. Researchers benefit from a more consistent process for submitting and tracking their files. For Research Services, it reduces reliance on informal email-based tracking, minimizes the risk of missed steps, and preserves records required for reporting and oversight. </w:t>
      </w:r>
    </w:p>
    <w:p w14:paraId="721E575E" w14:textId="3E04C576" w:rsidR="00E606B5" w:rsidRPr="005645D9" w:rsidRDefault="00E606B5" w:rsidP="00E606B5">
      <w:pPr>
        <w:rPr>
          <w:rFonts w:eastAsia="Times New Roman" w:cs="Times New Roman"/>
          <w:b/>
          <w:bCs/>
          <w:color w:val="000000"/>
          <w:kern w:val="0"/>
          <w14:ligatures w14:val="none"/>
        </w:rPr>
      </w:pPr>
      <w:r w:rsidRPr="005645D9">
        <w:rPr>
          <w:rFonts w:eastAsia="Times New Roman" w:cs="Times New Roman"/>
          <w:b/>
          <w:bCs/>
          <w:color w:val="000000"/>
          <w:kern w:val="0"/>
          <w14:ligatures w14:val="none"/>
        </w:rPr>
        <w:t>Investment Story #</w:t>
      </w:r>
      <w:r>
        <w:rPr>
          <w:rFonts w:eastAsia="Times New Roman" w:cs="Times New Roman"/>
          <w:b/>
          <w:bCs/>
          <w:color w:val="000000"/>
          <w:kern w:val="0"/>
          <w14:ligatures w14:val="none"/>
        </w:rPr>
        <w:t>2</w:t>
      </w:r>
    </w:p>
    <w:p w14:paraId="3C326C3C" w14:textId="06803BFA" w:rsidR="00E81CAD" w:rsidRDefault="00E81CAD" w:rsidP="00E81CAD">
      <w:pPr>
        <w:rPr>
          <w:rFonts w:eastAsia="Times New Roman"/>
          <w:color w:val="000000"/>
        </w:rPr>
      </w:pPr>
      <w:r w:rsidRPr="007D266F">
        <w:rPr>
          <w:rFonts w:eastAsia="Times New Roman"/>
          <w:b/>
          <w:bCs/>
          <w:color w:val="000000"/>
        </w:rPr>
        <w:t>Connecting Research to Partners through Intellectual Property and Knowledge Mobilization Capacity</w:t>
      </w:r>
    </w:p>
    <w:p w14:paraId="756F185A" w14:textId="37A17417" w:rsidR="00E81CAD" w:rsidRDefault="000A146D" w:rsidP="00E81CAD">
      <w:pPr>
        <w:rPr>
          <w:rFonts w:eastAsia="Times New Roman"/>
          <w:color w:val="000000"/>
        </w:rPr>
      </w:pPr>
      <w:r>
        <w:rPr>
          <w:rFonts w:eastAsia="Times New Roman"/>
          <w:color w:val="000000"/>
        </w:rPr>
        <w:t>The Research Support Fund sustains TRU’s capacity to move research knowledge and intellectual property beyond the university and into the hands of partners who can use them. This investment supports the specialized role responsible for negotiating and executing research agreements, structuring intellectual property and data terms, and developing partnerships with industry, government, Indigenous communities, and the non-profit sector. As a dynamic dual-sector university, TRU leverages this capacity as the essential link between research results and regional impact.</w:t>
      </w:r>
    </w:p>
    <w:p w14:paraId="047B5E0C" w14:textId="04F6BF20" w:rsidR="00E81CAD" w:rsidRDefault="000F45FC" w:rsidP="00E81CAD">
      <w:pPr>
        <w:rPr>
          <w:rFonts w:eastAsia="Times New Roman"/>
          <w:color w:val="000000"/>
        </w:rPr>
      </w:pPr>
      <w:r>
        <w:rPr>
          <w:rFonts w:eastAsia="Times New Roman"/>
          <w:color w:val="000000"/>
        </w:rPr>
        <w:t xml:space="preserve">The work spans the full arc of a partnered project. It begins with partnership development and early scoping, during which the terms that will later govern ownership, licensing, </w:t>
      </w:r>
      <w:r>
        <w:rPr>
          <w:rFonts w:eastAsia="Times New Roman"/>
          <w:color w:val="000000"/>
        </w:rPr>
        <w:lastRenderedPageBreak/>
        <w:t>publication, confidentiality, and data governance are established. It continues through the negotiation and institutional signature of collaboration agreements, contribution agreements, subcontracts, memoranda of understanding, and transfer-of-funds arrangements with partners across Canada and internationally. It also includes the compliance work that partnered research now requires, including research security assessments and national security review obligations, to ensure that agreements protect researchers, participating communities, and the institution. Alongside agreement work, the role supports researchers in identifying commercialization and knowledge mobilization pathways, advises on the intellectual property provisions of grant applications, and works with partners to ensure results remain usable after a project ends.</w:t>
      </w:r>
    </w:p>
    <w:p w14:paraId="5B9F0A14" w14:textId="591C2814" w:rsidR="001C134B" w:rsidRDefault="000A146D" w:rsidP="004939CB">
      <w:pPr>
        <w:rPr>
          <w:rFonts w:eastAsia="Times New Roman"/>
          <w:color w:val="000000"/>
        </w:rPr>
      </w:pPr>
      <w:r>
        <w:rPr>
          <w:rFonts w:eastAsia="Times New Roman"/>
          <w:color w:val="000000"/>
        </w:rPr>
        <w:t xml:space="preserve">The impact of this investment is evident in the agreements TRU can accept and the relationships it can sustain. Researchers gain access to funding partnerships they could not pursue without the institutional capacity to negotiate terms and manage risk. Partners receive a consistent, professional counterpart, which builds the confidence needed to return with subsequent projects. Community and Indigenous partners benefit from agreements that recognize their governance interests in data and results. </w:t>
      </w:r>
    </w:p>
    <w:p w14:paraId="7631536F" w14:textId="60A1CAC7" w:rsidR="00E606B5" w:rsidRDefault="00CB7231" w:rsidP="0049650F">
      <w:pPr>
        <w:jc w:val="center"/>
        <w:rPr>
          <w:b/>
          <w:bCs/>
          <w:sz w:val="28"/>
          <w:szCs w:val="28"/>
          <w:lang w:val="en-US"/>
        </w:rPr>
      </w:pPr>
      <w:r>
        <w:rPr>
          <w:rFonts w:eastAsia="Times New Roman"/>
          <w:color w:val="000000"/>
        </w:rPr>
        <w:t>“</w:t>
      </w:r>
      <w:r w:rsidR="009E29CD">
        <w:rPr>
          <w:rFonts w:eastAsia="Times New Roman"/>
          <w:color w:val="000000"/>
        </w:rPr>
        <w:t>Thanks to this RSF-supported capacity, researchers and partners can focus on what matters most: creating knowledge and making a difference.</w:t>
      </w:r>
      <w:r w:rsidR="00CC2C6A">
        <w:rPr>
          <w:rFonts w:eastAsia="Times New Roman"/>
          <w:color w:val="000000"/>
        </w:rPr>
        <w:t>”</w:t>
      </w:r>
    </w:p>
    <w:p w14:paraId="7F484DE8" w14:textId="77777777" w:rsidR="00E606B5" w:rsidRDefault="00E606B5" w:rsidP="00013AE3">
      <w:pPr>
        <w:jc w:val="center"/>
        <w:rPr>
          <w:b/>
          <w:bCs/>
          <w:sz w:val="28"/>
          <w:szCs w:val="28"/>
          <w:lang w:val="en-US"/>
        </w:rPr>
      </w:pPr>
    </w:p>
    <w:p w14:paraId="55E17336" w14:textId="77777777" w:rsidR="00E606B5" w:rsidRDefault="00E606B5" w:rsidP="00013AE3">
      <w:pPr>
        <w:jc w:val="center"/>
        <w:rPr>
          <w:b/>
          <w:bCs/>
          <w:sz w:val="28"/>
          <w:szCs w:val="28"/>
          <w:lang w:val="en-US"/>
        </w:rPr>
      </w:pPr>
    </w:p>
    <w:p w14:paraId="39C6598C" w14:textId="77777777" w:rsidR="00E606B5" w:rsidRDefault="00E606B5" w:rsidP="00013AE3">
      <w:pPr>
        <w:jc w:val="center"/>
        <w:rPr>
          <w:b/>
          <w:bCs/>
          <w:sz w:val="28"/>
          <w:szCs w:val="28"/>
          <w:lang w:val="en-US"/>
        </w:rPr>
      </w:pPr>
    </w:p>
    <w:p w14:paraId="47B5D1E1" w14:textId="77777777" w:rsidR="00345ED0" w:rsidRDefault="00345ED0" w:rsidP="00013AE3">
      <w:pPr>
        <w:jc w:val="center"/>
        <w:rPr>
          <w:b/>
          <w:bCs/>
          <w:sz w:val="28"/>
          <w:szCs w:val="28"/>
          <w:lang w:val="en-US"/>
        </w:rPr>
      </w:pPr>
    </w:p>
    <w:p w14:paraId="4401DB63" w14:textId="77777777" w:rsidR="00C8056A" w:rsidRDefault="00C8056A" w:rsidP="00C8056A">
      <w:pPr>
        <w:rPr>
          <w:lang w:val="en-US"/>
        </w:rPr>
      </w:pPr>
    </w:p>
    <w:p w14:paraId="302269EA" w14:textId="77777777" w:rsidR="00E32BFA" w:rsidRDefault="00E32BFA"/>
    <w:sectPr w:rsidR="00E32BFA">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AC82B" w14:textId="77777777" w:rsidR="00D87595" w:rsidRDefault="00D87595" w:rsidP="00C8056A">
      <w:pPr>
        <w:spacing w:after="0" w:line="240" w:lineRule="auto"/>
      </w:pPr>
      <w:r>
        <w:separator/>
      </w:r>
    </w:p>
  </w:endnote>
  <w:endnote w:type="continuationSeparator" w:id="0">
    <w:p w14:paraId="162A5CC0" w14:textId="77777777" w:rsidR="00D87595" w:rsidRDefault="00D87595" w:rsidP="00C80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C57D" w14:textId="683ED9AE" w:rsidR="00C8056A" w:rsidRPr="00C8056A" w:rsidRDefault="00C8056A">
    <w:pPr>
      <w:pStyle w:val="Footer"/>
      <w:rPr>
        <w:lang w:val="en-US"/>
      </w:rPr>
    </w:pPr>
    <w:r>
      <w:rPr>
        <w:lang w:val="en-US"/>
      </w:rPr>
      <w:t>AKS/</w:t>
    </w:r>
    <w:r w:rsidR="007F551B">
      <w:rPr>
        <w:lang w:val="en-US"/>
      </w:rPr>
      <w:t>Aug 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D9C5B" w14:textId="77777777" w:rsidR="00D87595" w:rsidRDefault="00D87595" w:rsidP="00C8056A">
      <w:pPr>
        <w:spacing w:after="0" w:line="240" w:lineRule="auto"/>
      </w:pPr>
      <w:r>
        <w:separator/>
      </w:r>
    </w:p>
  </w:footnote>
  <w:footnote w:type="continuationSeparator" w:id="0">
    <w:p w14:paraId="005F189E" w14:textId="77777777" w:rsidR="00D87595" w:rsidRDefault="00D87595" w:rsidP="00C805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6A"/>
    <w:rsid w:val="00007D5F"/>
    <w:rsid w:val="00013AE3"/>
    <w:rsid w:val="000161E0"/>
    <w:rsid w:val="000325F6"/>
    <w:rsid w:val="0003755B"/>
    <w:rsid w:val="00040CCB"/>
    <w:rsid w:val="00057658"/>
    <w:rsid w:val="00067574"/>
    <w:rsid w:val="00072144"/>
    <w:rsid w:val="000A146D"/>
    <w:rsid w:val="000B3166"/>
    <w:rsid w:val="000E7395"/>
    <w:rsid w:val="000F45FC"/>
    <w:rsid w:val="00135D8D"/>
    <w:rsid w:val="00155A5F"/>
    <w:rsid w:val="00156C55"/>
    <w:rsid w:val="001605E8"/>
    <w:rsid w:val="001A38CF"/>
    <w:rsid w:val="001B7DE0"/>
    <w:rsid w:val="001C134B"/>
    <w:rsid w:val="001C59F1"/>
    <w:rsid w:val="001D113E"/>
    <w:rsid w:val="00204A60"/>
    <w:rsid w:val="002279EA"/>
    <w:rsid w:val="002356C5"/>
    <w:rsid w:val="00235A27"/>
    <w:rsid w:val="002468AF"/>
    <w:rsid w:val="00253885"/>
    <w:rsid w:val="00260615"/>
    <w:rsid w:val="0026267F"/>
    <w:rsid w:val="002878F5"/>
    <w:rsid w:val="002B46CB"/>
    <w:rsid w:val="002D69C5"/>
    <w:rsid w:val="002F10AB"/>
    <w:rsid w:val="002F272B"/>
    <w:rsid w:val="002F5B69"/>
    <w:rsid w:val="0032013A"/>
    <w:rsid w:val="00320285"/>
    <w:rsid w:val="00345ED0"/>
    <w:rsid w:val="00350798"/>
    <w:rsid w:val="003A3B6B"/>
    <w:rsid w:val="003F5EBE"/>
    <w:rsid w:val="00462CDE"/>
    <w:rsid w:val="004939CB"/>
    <w:rsid w:val="0049650F"/>
    <w:rsid w:val="004D738C"/>
    <w:rsid w:val="004E650B"/>
    <w:rsid w:val="004E7B70"/>
    <w:rsid w:val="004F3353"/>
    <w:rsid w:val="004F3FE1"/>
    <w:rsid w:val="00513273"/>
    <w:rsid w:val="005152BE"/>
    <w:rsid w:val="00537103"/>
    <w:rsid w:val="00563B23"/>
    <w:rsid w:val="005645D9"/>
    <w:rsid w:val="00565B84"/>
    <w:rsid w:val="005A1169"/>
    <w:rsid w:val="005C5203"/>
    <w:rsid w:val="005D7C4F"/>
    <w:rsid w:val="006355DD"/>
    <w:rsid w:val="0064199E"/>
    <w:rsid w:val="00693C6A"/>
    <w:rsid w:val="006C42D0"/>
    <w:rsid w:val="006F1B41"/>
    <w:rsid w:val="0070090D"/>
    <w:rsid w:val="0073137C"/>
    <w:rsid w:val="0076797E"/>
    <w:rsid w:val="00773B8D"/>
    <w:rsid w:val="0077745D"/>
    <w:rsid w:val="007B3004"/>
    <w:rsid w:val="007D266F"/>
    <w:rsid w:val="007D5B98"/>
    <w:rsid w:val="007E059B"/>
    <w:rsid w:val="007F551B"/>
    <w:rsid w:val="00813E55"/>
    <w:rsid w:val="0087610B"/>
    <w:rsid w:val="008D6534"/>
    <w:rsid w:val="008E5561"/>
    <w:rsid w:val="00920064"/>
    <w:rsid w:val="00941CE7"/>
    <w:rsid w:val="009E29CD"/>
    <w:rsid w:val="009F71D7"/>
    <w:rsid w:val="00A1556D"/>
    <w:rsid w:val="00A21482"/>
    <w:rsid w:val="00A35704"/>
    <w:rsid w:val="00A444C1"/>
    <w:rsid w:val="00A5138D"/>
    <w:rsid w:val="00A71873"/>
    <w:rsid w:val="00A93287"/>
    <w:rsid w:val="00AF0017"/>
    <w:rsid w:val="00B01815"/>
    <w:rsid w:val="00B20D8C"/>
    <w:rsid w:val="00B65008"/>
    <w:rsid w:val="00B8643F"/>
    <w:rsid w:val="00B948EC"/>
    <w:rsid w:val="00BB41E7"/>
    <w:rsid w:val="00BD0219"/>
    <w:rsid w:val="00BF6E12"/>
    <w:rsid w:val="00C07B44"/>
    <w:rsid w:val="00C14F17"/>
    <w:rsid w:val="00C33D22"/>
    <w:rsid w:val="00C52FBC"/>
    <w:rsid w:val="00C55F4A"/>
    <w:rsid w:val="00C57706"/>
    <w:rsid w:val="00C8056A"/>
    <w:rsid w:val="00C92AC1"/>
    <w:rsid w:val="00CB7231"/>
    <w:rsid w:val="00CC2C6A"/>
    <w:rsid w:val="00CD229F"/>
    <w:rsid w:val="00D00588"/>
    <w:rsid w:val="00D044AB"/>
    <w:rsid w:val="00D40F82"/>
    <w:rsid w:val="00D87595"/>
    <w:rsid w:val="00D87B95"/>
    <w:rsid w:val="00D922FE"/>
    <w:rsid w:val="00E003F4"/>
    <w:rsid w:val="00E1670F"/>
    <w:rsid w:val="00E32BFA"/>
    <w:rsid w:val="00E606B5"/>
    <w:rsid w:val="00E80A5C"/>
    <w:rsid w:val="00E81CAD"/>
    <w:rsid w:val="00EA6DBC"/>
    <w:rsid w:val="00EC58C0"/>
    <w:rsid w:val="00ED59F5"/>
    <w:rsid w:val="00F30385"/>
    <w:rsid w:val="00F46AB2"/>
    <w:rsid w:val="00F60329"/>
    <w:rsid w:val="00F6647A"/>
    <w:rsid w:val="00F973A1"/>
    <w:rsid w:val="00FA7170"/>
    <w:rsid w:val="00FA79EA"/>
    <w:rsid w:val="00FB64B5"/>
    <w:rsid w:val="00FB67AF"/>
    <w:rsid w:val="00FC11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AF5A3"/>
  <w15:chartTrackingRefBased/>
  <w15:docId w15:val="{E621C2CE-99E8-474E-8C7F-D70D1755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6B5"/>
  </w:style>
  <w:style w:type="paragraph" w:styleId="Heading1">
    <w:name w:val="heading 1"/>
    <w:basedOn w:val="Normal"/>
    <w:next w:val="Normal"/>
    <w:link w:val="Heading1Char"/>
    <w:uiPriority w:val="9"/>
    <w:qFormat/>
    <w:rsid w:val="00C80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05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5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5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5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5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5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5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5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05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05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05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5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5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5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5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56A"/>
    <w:rPr>
      <w:rFonts w:eastAsiaTheme="majorEastAsia" w:cstheme="majorBidi"/>
      <w:color w:val="272727" w:themeColor="text1" w:themeTint="D8"/>
    </w:rPr>
  </w:style>
  <w:style w:type="paragraph" w:styleId="Title">
    <w:name w:val="Title"/>
    <w:basedOn w:val="Normal"/>
    <w:next w:val="Normal"/>
    <w:link w:val="TitleChar"/>
    <w:uiPriority w:val="10"/>
    <w:qFormat/>
    <w:rsid w:val="00C80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5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5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5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56A"/>
    <w:pPr>
      <w:spacing w:before="160"/>
      <w:jc w:val="center"/>
    </w:pPr>
    <w:rPr>
      <w:i/>
      <w:iCs/>
      <w:color w:val="404040" w:themeColor="text1" w:themeTint="BF"/>
    </w:rPr>
  </w:style>
  <w:style w:type="character" w:customStyle="1" w:styleId="QuoteChar">
    <w:name w:val="Quote Char"/>
    <w:basedOn w:val="DefaultParagraphFont"/>
    <w:link w:val="Quote"/>
    <w:uiPriority w:val="29"/>
    <w:rsid w:val="00C8056A"/>
    <w:rPr>
      <w:i/>
      <w:iCs/>
      <w:color w:val="404040" w:themeColor="text1" w:themeTint="BF"/>
    </w:rPr>
  </w:style>
  <w:style w:type="paragraph" w:styleId="ListParagraph">
    <w:name w:val="List Paragraph"/>
    <w:basedOn w:val="Normal"/>
    <w:uiPriority w:val="34"/>
    <w:qFormat/>
    <w:rsid w:val="00C8056A"/>
    <w:pPr>
      <w:ind w:left="720"/>
      <w:contextualSpacing/>
    </w:pPr>
  </w:style>
  <w:style w:type="character" w:styleId="IntenseEmphasis">
    <w:name w:val="Intense Emphasis"/>
    <w:basedOn w:val="DefaultParagraphFont"/>
    <w:uiPriority w:val="21"/>
    <w:qFormat/>
    <w:rsid w:val="00C8056A"/>
    <w:rPr>
      <w:i/>
      <w:iCs/>
      <w:color w:val="0F4761" w:themeColor="accent1" w:themeShade="BF"/>
    </w:rPr>
  </w:style>
  <w:style w:type="paragraph" w:styleId="IntenseQuote">
    <w:name w:val="Intense Quote"/>
    <w:basedOn w:val="Normal"/>
    <w:next w:val="Normal"/>
    <w:link w:val="IntenseQuoteChar"/>
    <w:uiPriority w:val="30"/>
    <w:qFormat/>
    <w:rsid w:val="00C80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56A"/>
    <w:rPr>
      <w:i/>
      <w:iCs/>
      <w:color w:val="0F4761" w:themeColor="accent1" w:themeShade="BF"/>
    </w:rPr>
  </w:style>
  <w:style w:type="character" w:styleId="IntenseReference">
    <w:name w:val="Intense Reference"/>
    <w:basedOn w:val="DefaultParagraphFont"/>
    <w:uiPriority w:val="32"/>
    <w:qFormat/>
    <w:rsid w:val="00C8056A"/>
    <w:rPr>
      <w:b/>
      <w:bCs/>
      <w:smallCaps/>
      <w:color w:val="0F4761" w:themeColor="accent1" w:themeShade="BF"/>
      <w:spacing w:val="5"/>
    </w:rPr>
  </w:style>
  <w:style w:type="paragraph" w:styleId="Header">
    <w:name w:val="header"/>
    <w:basedOn w:val="Normal"/>
    <w:link w:val="HeaderChar"/>
    <w:uiPriority w:val="99"/>
    <w:unhideWhenUsed/>
    <w:rsid w:val="00C80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56A"/>
  </w:style>
  <w:style w:type="paragraph" w:styleId="Footer">
    <w:name w:val="footer"/>
    <w:basedOn w:val="Normal"/>
    <w:link w:val="FooterChar"/>
    <w:uiPriority w:val="99"/>
    <w:unhideWhenUsed/>
    <w:rsid w:val="00C80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56A"/>
  </w:style>
  <w:style w:type="paragraph" w:styleId="NormalWeb">
    <w:name w:val="Normal (Web)"/>
    <w:basedOn w:val="Normal"/>
    <w:uiPriority w:val="99"/>
    <w:semiHidden/>
    <w:unhideWhenUsed/>
    <w:rsid w:val="005A116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A1556D"/>
    <w:rPr>
      <w:sz w:val="16"/>
      <w:szCs w:val="16"/>
    </w:rPr>
  </w:style>
  <w:style w:type="paragraph" w:styleId="CommentText">
    <w:name w:val="annotation text"/>
    <w:basedOn w:val="Normal"/>
    <w:link w:val="CommentTextChar"/>
    <w:uiPriority w:val="99"/>
    <w:semiHidden/>
    <w:unhideWhenUsed/>
    <w:rsid w:val="00A1556D"/>
    <w:pPr>
      <w:spacing w:line="240" w:lineRule="auto"/>
    </w:pPr>
    <w:rPr>
      <w:sz w:val="20"/>
      <w:szCs w:val="20"/>
    </w:rPr>
  </w:style>
  <w:style w:type="character" w:customStyle="1" w:styleId="CommentTextChar">
    <w:name w:val="Comment Text Char"/>
    <w:basedOn w:val="DefaultParagraphFont"/>
    <w:link w:val="CommentText"/>
    <w:uiPriority w:val="99"/>
    <w:semiHidden/>
    <w:rsid w:val="00A1556D"/>
    <w:rPr>
      <w:sz w:val="20"/>
      <w:szCs w:val="20"/>
    </w:rPr>
  </w:style>
  <w:style w:type="paragraph" w:styleId="CommentSubject">
    <w:name w:val="annotation subject"/>
    <w:basedOn w:val="CommentText"/>
    <w:next w:val="CommentText"/>
    <w:link w:val="CommentSubjectChar"/>
    <w:uiPriority w:val="99"/>
    <w:semiHidden/>
    <w:unhideWhenUsed/>
    <w:rsid w:val="00A1556D"/>
    <w:rPr>
      <w:b/>
      <w:bCs/>
    </w:rPr>
  </w:style>
  <w:style w:type="character" w:customStyle="1" w:styleId="CommentSubjectChar">
    <w:name w:val="Comment Subject Char"/>
    <w:basedOn w:val="CommentTextChar"/>
    <w:link w:val="CommentSubject"/>
    <w:uiPriority w:val="99"/>
    <w:semiHidden/>
    <w:rsid w:val="00A1556D"/>
    <w:rPr>
      <w:b/>
      <w:bCs/>
      <w:sz w:val="20"/>
      <w:szCs w:val="20"/>
    </w:rPr>
  </w:style>
  <w:style w:type="character" w:customStyle="1" w:styleId="apple-converted-space">
    <w:name w:val="apple-converted-space"/>
    <w:basedOn w:val="DefaultParagraphFont"/>
    <w:rsid w:val="00BB41E7"/>
  </w:style>
  <w:style w:type="character" w:styleId="Strong">
    <w:name w:val="Strong"/>
    <w:basedOn w:val="DefaultParagraphFont"/>
    <w:uiPriority w:val="22"/>
    <w:qFormat/>
    <w:rsid w:val="00BB41E7"/>
    <w:rPr>
      <w:b/>
      <w:bCs/>
    </w:rPr>
  </w:style>
  <w:style w:type="character" w:styleId="BookTitle">
    <w:name w:val="Book Title"/>
    <w:basedOn w:val="DefaultParagraphFont"/>
    <w:uiPriority w:val="33"/>
    <w:qFormat/>
    <w:rsid w:val="00A35704"/>
    <w:rPr>
      <w:b/>
      <w:bCs/>
      <w:i/>
      <w:iCs/>
      <w:spacing w:val="5"/>
    </w:rPr>
  </w:style>
  <w:style w:type="paragraph" w:styleId="Caption">
    <w:name w:val="caption"/>
    <w:basedOn w:val="Normal"/>
    <w:next w:val="Normal"/>
    <w:uiPriority w:val="35"/>
    <w:semiHidden/>
    <w:unhideWhenUsed/>
    <w:qFormat/>
    <w:rsid w:val="00A35704"/>
    <w:pPr>
      <w:spacing w:after="200" w:line="240" w:lineRule="auto"/>
    </w:pPr>
    <w:rPr>
      <w:i/>
      <w:iCs/>
      <w:color w:val="0E2841" w:themeColor="text2"/>
      <w:sz w:val="18"/>
      <w:szCs w:val="18"/>
    </w:rPr>
  </w:style>
  <w:style w:type="character" w:styleId="Emphasis">
    <w:name w:val="Emphasis"/>
    <w:basedOn w:val="DefaultParagraphFont"/>
    <w:uiPriority w:val="20"/>
    <w:qFormat/>
    <w:rsid w:val="00A35704"/>
    <w:rPr>
      <w:i/>
      <w:iCs/>
    </w:rPr>
  </w:style>
  <w:style w:type="paragraph" w:styleId="NoSpacing">
    <w:name w:val="No Spacing"/>
    <w:uiPriority w:val="1"/>
    <w:qFormat/>
    <w:rsid w:val="00A35704"/>
    <w:pPr>
      <w:spacing w:after="0" w:line="240" w:lineRule="auto"/>
    </w:pPr>
  </w:style>
  <w:style w:type="character" w:styleId="SubtleEmphasis">
    <w:name w:val="Subtle Emphasis"/>
    <w:basedOn w:val="DefaultParagraphFont"/>
    <w:uiPriority w:val="19"/>
    <w:qFormat/>
    <w:rsid w:val="00A35704"/>
    <w:rPr>
      <w:i/>
      <w:iCs/>
      <w:color w:val="404040" w:themeColor="text1" w:themeTint="BF"/>
    </w:rPr>
  </w:style>
  <w:style w:type="character" w:styleId="SubtleReference">
    <w:name w:val="Subtle Reference"/>
    <w:basedOn w:val="DefaultParagraphFont"/>
    <w:uiPriority w:val="31"/>
    <w:qFormat/>
    <w:rsid w:val="00A35704"/>
    <w:rPr>
      <w:smallCaps/>
      <w:color w:val="5A5A5A" w:themeColor="text1" w:themeTint="A5"/>
    </w:rPr>
  </w:style>
  <w:style w:type="paragraph" w:styleId="TOCHeading">
    <w:name w:val="TOC Heading"/>
    <w:basedOn w:val="Heading1"/>
    <w:next w:val="Normal"/>
    <w:uiPriority w:val="39"/>
    <w:semiHidden/>
    <w:unhideWhenUsed/>
    <w:qFormat/>
    <w:rsid w:val="00A35704"/>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CFEE8-164C-444C-B59F-B10369A46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Thompson Rivers University</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Sharma</dc:creator>
  <cp:keywords/>
  <dc:description/>
  <cp:lastModifiedBy>Anita Sharma</cp:lastModifiedBy>
  <cp:revision>9</cp:revision>
  <cp:lastPrinted>2025-10-17T19:14:00Z</cp:lastPrinted>
  <dcterms:created xsi:type="dcterms:W3CDTF">2026-08-04T17:47:00Z</dcterms:created>
  <dcterms:modified xsi:type="dcterms:W3CDTF">2026-08-04T17:51:00Z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ad8476ab-961b-45aa-b468-3ca4c5c64a5d</vt:lpwstr>
  </property>
</Properties>
</file>