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D141F" w14:textId="277011B5" w:rsidR="00FC3A12" w:rsidRDefault="00FC3A12" w:rsidP="008A07DE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C3A12">
        <w:rPr>
          <w:rFonts w:ascii="Arial" w:hAnsi="Arial" w:cs="Arial"/>
          <w:b/>
          <w:bCs/>
          <w:sz w:val="40"/>
          <w:szCs w:val="40"/>
        </w:rPr>
        <w:t>Research Support Fund-Performance Objectives for 202</w:t>
      </w:r>
      <w:r>
        <w:rPr>
          <w:rFonts w:ascii="Arial" w:hAnsi="Arial" w:cs="Arial"/>
          <w:b/>
          <w:bCs/>
          <w:sz w:val="40"/>
          <w:szCs w:val="40"/>
        </w:rPr>
        <w:t>5</w:t>
      </w:r>
      <w:r w:rsidRPr="00FC3A12">
        <w:rPr>
          <w:rFonts w:ascii="Arial" w:hAnsi="Arial" w:cs="Arial"/>
          <w:b/>
          <w:bCs/>
          <w:sz w:val="40"/>
          <w:szCs w:val="40"/>
        </w:rPr>
        <w:t>-2</w:t>
      </w:r>
      <w:r>
        <w:rPr>
          <w:rFonts w:ascii="Arial" w:hAnsi="Arial" w:cs="Arial"/>
          <w:b/>
          <w:bCs/>
          <w:sz w:val="40"/>
          <w:szCs w:val="40"/>
        </w:rPr>
        <w:t>6</w:t>
      </w:r>
    </w:p>
    <w:tbl>
      <w:tblPr>
        <w:tblStyle w:val="TableGrid"/>
        <w:tblW w:w="12475" w:type="dxa"/>
        <w:tblInd w:w="-289" w:type="dxa"/>
        <w:tblLook w:val="04A0" w:firstRow="1" w:lastRow="0" w:firstColumn="1" w:lastColumn="0" w:noHBand="0" w:noVBand="1"/>
      </w:tblPr>
      <w:tblGrid>
        <w:gridCol w:w="1791"/>
        <w:gridCol w:w="3098"/>
        <w:gridCol w:w="3050"/>
        <w:gridCol w:w="2268"/>
        <w:gridCol w:w="2268"/>
      </w:tblGrid>
      <w:tr w:rsidR="00FC3A12" w14:paraId="077EC137" w14:textId="77777777" w:rsidTr="008A07DE">
        <w:tc>
          <w:tcPr>
            <w:tcW w:w="1791" w:type="dxa"/>
          </w:tcPr>
          <w:p w14:paraId="25754693" w14:textId="47D98BBC" w:rsidR="00FC3A12" w:rsidRDefault="00FC3A12" w:rsidP="008A0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FC3A12">
              <w:rPr>
                <w:rFonts w:ascii="Arial" w:hAnsi="Arial" w:cs="Arial"/>
                <w:b/>
                <w:bCs/>
              </w:rPr>
              <w:t>Eligible program expenditure category</w:t>
            </w:r>
          </w:p>
        </w:tc>
        <w:tc>
          <w:tcPr>
            <w:tcW w:w="3098" w:type="dxa"/>
          </w:tcPr>
          <w:p w14:paraId="1F2148BA" w14:textId="549ED96F" w:rsidR="00FC3A12" w:rsidRDefault="00FC3A12" w:rsidP="008A0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FC3A12">
              <w:rPr>
                <w:rFonts w:ascii="Arial" w:hAnsi="Arial" w:cs="Arial"/>
                <w:b/>
                <w:bCs/>
              </w:rPr>
              <w:t>Output (investment or expense of RSF grant funds)</w:t>
            </w:r>
          </w:p>
        </w:tc>
        <w:tc>
          <w:tcPr>
            <w:tcW w:w="3050" w:type="dxa"/>
          </w:tcPr>
          <w:p w14:paraId="5AEFBA72" w14:textId="50A018D2" w:rsidR="00FC3A12" w:rsidRDefault="00FC3A12" w:rsidP="008A0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FC3A12">
              <w:rPr>
                <w:rFonts w:ascii="Arial" w:hAnsi="Arial" w:cs="Arial"/>
                <w:b/>
                <w:bCs/>
              </w:rPr>
              <w:t>Performance objective</w:t>
            </w:r>
          </w:p>
        </w:tc>
        <w:tc>
          <w:tcPr>
            <w:tcW w:w="2268" w:type="dxa"/>
          </w:tcPr>
          <w:p w14:paraId="39D08E11" w14:textId="10188A12" w:rsidR="00FC3A12" w:rsidRDefault="00FC3A12" w:rsidP="008A0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FC3A12">
              <w:rPr>
                <w:rFonts w:ascii="Arial" w:hAnsi="Arial" w:cs="Arial"/>
                <w:b/>
                <w:bCs/>
              </w:rPr>
              <w:t>Performance indicator</w:t>
            </w:r>
          </w:p>
        </w:tc>
        <w:tc>
          <w:tcPr>
            <w:tcW w:w="2268" w:type="dxa"/>
          </w:tcPr>
          <w:p w14:paraId="10E6F62C" w14:textId="56514BE2" w:rsidR="00FC3A12" w:rsidRDefault="00FC3A12" w:rsidP="008A0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FC3A12">
              <w:rPr>
                <w:rFonts w:ascii="Arial" w:hAnsi="Arial" w:cs="Arial"/>
                <w:b/>
                <w:bCs/>
              </w:rPr>
              <w:t>Target outcome</w:t>
            </w:r>
          </w:p>
        </w:tc>
      </w:tr>
      <w:tr w:rsidR="00FC3A12" w14:paraId="4BE165BB" w14:textId="77777777" w:rsidTr="008A07DE">
        <w:tc>
          <w:tcPr>
            <w:tcW w:w="1791" w:type="dxa"/>
          </w:tcPr>
          <w:p w14:paraId="24C71C8B" w14:textId="77777777" w:rsidR="00FC3A12" w:rsidRDefault="00FC3A12" w:rsidP="008A07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98" w:type="dxa"/>
          </w:tcPr>
          <w:p w14:paraId="059ED7DE" w14:textId="77777777" w:rsidR="00FC3A12" w:rsidRDefault="00FC3A12" w:rsidP="008A07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0" w:type="dxa"/>
          </w:tcPr>
          <w:p w14:paraId="39CC0B2F" w14:textId="77777777" w:rsidR="00FC3A12" w:rsidRDefault="00FC3A12" w:rsidP="008A07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63D5D201" w14:textId="77777777" w:rsidR="00FC3A12" w:rsidRDefault="00FC3A12" w:rsidP="008A07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1CE65897" w14:textId="77777777" w:rsidR="00FC3A12" w:rsidRDefault="00FC3A12" w:rsidP="008A07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C3A12" w14:paraId="037C00E9" w14:textId="77777777" w:rsidTr="008A07DE">
        <w:trPr>
          <w:trHeight w:val="1877"/>
        </w:trPr>
        <w:tc>
          <w:tcPr>
            <w:tcW w:w="1791" w:type="dxa"/>
          </w:tcPr>
          <w:p w14:paraId="21089EB6" w14:textId="097563C1" w:rsidR="00FC3A12" w:rsidRPr="00FC3A12" w:rsidRDefault="00FC3A12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3A12">
              <w:rPr>
                <w:rFonts w:ascii="Arial" w:hAnsi="Arial" w:cs="Arial"/>
                <w:sz w:val="22"/>
                <w:szCs w:val="22"/>
              </w:rPr>
              <w:t>Research Facilities</w:t>
            </w:r>
          </w:p>
        </w:tc>
        <w:tc>
          <w:tcPr>
            <w:tcW w:w="3098" w:type="dxa"/>
          </w:tcPr>
          <w:p w14:paraId="62BD758C" w14:textId="3D8EB001" w:rsidR="00FC3A12" w:rsidRPr="00FC3A12" w:rsidRDefault="00FC3A12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3A12">
              <w:rPr>
                <w:rFonts w:ascii="Arial" w:hAnsi="Arial" w:cs="Arial"/>
                <w:sz w:val="22"/>
                <w:szCs w:val="22"/>
              </w:rPr>
              <w:t>Projected percentage of RSF grant invested in supporting the operation of research facilities: $51,722 (6%)</w:t>
            </w:r>
          </w:p>
        </w:tc>
        <w:tc>
          <w:tcPr>
            <w:tcW w:w="3050" w:type="dxa"/>
          </w:tcPr>
          <w:p w14:paraId="19535600" w14:textId="21F4AD61" w:rsidR="00FC3A12" w:rsidRPr="00FC3A12" w:rsidRDefault="00FC3A12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3A12">
              <w:rPr>
                <w:rFonts w:ascii="Arial" w:hAnsi="Arial" w:cs="Arial"/>
                <w:sz w:val="22"/>
                <w:szCs w:val="22"/>
              </w:rPr>
              <w:t>Supporting operation and maintenance of research equipment by partially covering the compensation of technical staff</w:t>
            </w:r>
          </w:p>
        </w:tc>
        <w:tc>
          <w:tcPr>
            <w:tcW w:w="2268" w:type="dxa"/>
          </w:tcPr>
          <w:p w14:paraId="2D17052F" w14:textId="606B738D" w:rsidR="00FC3A12" w:rsidRPr="00FC3A12" w:rsidRDefault="00FC3A12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3A12">
              <w:rPr>
                <w:rFonts w:ascii="Arial" w:hAnsi="Arial" w:cs="Arial"/>
                <w:sz w:val="22"/>
                <w:szCs w:val="22"/>
              </w:rPr>
              <w:t>Reports of research projects impacted because of equipment needing repair</w:t>
            </w:r>
          </w:p>
        </w:tc>
        <w:tc>
          <w:tcPr>
            <w:tcW w:w="2268" w:type="dxa"/>
          </w:tcPr>
          <w:p w14:paraId="4E68220A" w14:textId="448BB19A" w:rsidR="00FC3A12" w:rsidRPr="00FC3A12" w:rsidRDefault="00FC3A12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3A12">
              <w:rPr>
                <w:rFonts w:ascii="Arial" w:hAnsi="Arial" w:cs="Arial"/>
                <w:sz w:val="22"/>
                <w:szCs w:val="22"/>
              </w:rPr>
              <w:t>Dependable research equipment for productive research activities</w:t>
            </w:r>
          </w:p>
          <w:p w14:paraId="672EA4FA" w14:textId="77777777" w:rsidR="00FC3A12" w:rsidRPr="00FC3A12" w:rsidRDefault="00FC3A12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3A12" w14:paraId="6611A6FA" w14:textId="77777777" w:rsidTr="008A07DE">
        <w:trPr>
          <w:trHeight w:val="1597"/>
        </w:trPr>
        <w:tc>
          <w:tcPr>
            <w:tcW w:w="1791" w:type="dxa"/>
          </w:tcPr>
          <w:p w14:paraId="473BA84F" w14:textId="1A3E8AAD" w:rsidR="00FC3A12" w:rsidRPr="00FC3A12" w:rsidRDefault="00FC3A12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3A12">
              <w:rPr>
                <w:rFonts w:ascii="Arial" w:hAnsi="Arial" w:cs="Arial"/>
                <w:sz w:val="22"/>
                <w:szCs w:val="22"/>
              </w:rPr>
              <w:t>Research Resources</w:t>
            </w:r>
          </w:p>
        </w:tc>
        <w:tc>
          <w:tcPr>
            <w:tcW w:w="3098" w:type="dxa"/>
          </w:tcPr>
          <w:p w14:paraId="56B4CB58" w14:textId="785D2E98" w:rsidR="00FC3A12" w:rsidRPr="008A07DE" w:rsidRDefault="008A07DE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07DE">
              <w:rPr>
                <w:rFonts w:ascii="Arial" w:hAnsi="Arial" w:cs="Arial"/>
                <w:sz w:val="22"/>
                <w:szCs w:val="22"/>
              </w:rPr>
              <w:t>Projected percentage of RSF grant invested in supporting the operation of research resources: $308,566 (33%)</w:t>
            </w:r>
          </w:p>
        </w:tc>
        <w:tc>
          <w:tcPr>
            <w:tcW w:w="3050" w:type="dxa"/>
          </w:tcPr>
          <w:p w14:paraId="6D70DBBC" w14:textId="1F30BB6C" w:rsidR="00FC3A12" w:rsidRPr="008A07DE" w:rsidRDefault="008A07DE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07DE">
              <w:rPr>
                <w:rFonts w:ascii="Arial" w:hAnsi="Arial" w:cs="Arial"/>
                <w:sz w:val="22"/>
                <w:szCs w:val="22"/>
              </w:rPr>
              <w:t>Ensure maintenance of library services and access to the Canadian Research Knowledge Network (CRKN)</w:t>
            </w:r>
          </w:p>
          <w:p w14:paraId="70E9D757" w14:textId="77777777" w:rsidR="008A07DE" w:rsidRPr="008A07DE" w:rsidRDefault="008A07DE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76A29B" w14:textId="48EC62F2" w:rsidR="00FC3A12" w:rsidRPr="008A07DE" w:rsidRDefault="008A07DE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07DE">
              <w:rPr>
                <w:rFonts w:ascii="Arial" w:hAnsi="Arial" w:cs="Arial"/>
                <w:sz w:val="22"/>
                <w:szCs w:val="22"/>
              </w:rPr>
              <w:t>Total number of views /downloads accessing digital content in the library</w:t>
            </w:r>
          </w:p>
          <w:p w14:paraId="55F725C8" w14:textId="77777777" w:rsidR="008A07DE" w:rsidRPr="008A07DE" w:rsidRDefault="008A07DE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714932" w14:textId="4F9C40EA" w:rsidR="00FC3A12" w:rsidRPr="008A07DE" w:rsidRDefault="008A07DE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07DE">
              <w:rPr>
                <w:rFonts w:ascii="Arial" w:hAnsi="Arial" w:cs="Arial"/>
                <w:sz w:val="22"/>
                <w:szCs w:val="22"/>
              </w:rPr>
              <w:t>Maintain access to research librarian and CRKN digital content network in the library</w:t>
            </w:r>
          </w:p>
        </w:tc>
      </w:tr>
      <w:tr w:rsidR="00FC3A12" w14:paraId="0D7CA7E0" w14:textId="77777777" w:rsidTr="008A07DE">
        <w:tc>
          <w:tcPr>
            <w:tcW w:w="1791" w:type="dxa"/>
          </w:tcPr>
          <w:p w14:paraId="4E3FBE47" w14:textId="4DCE69B2" w:rsidR="00FC3A12" w:rsidRPr="00FC3A12" w:rsidRDefault="00FC3A12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3A12">
              <w:rPr>
                <w:rFonts w:ascii="Arial" w:hAnsi="Arial" w:cs="Arial"/>
                <w:sz w:val="22"/>
                <w:szCs w:val="22"/>
              </w:rPr>
              <w:t>Management and Administration of Research Enterprise</w:t>
            </w:r>
          </w:p>
        </w:tc>
        <w:tc>
          <w:tcPr>
            <w:tcW w:w="3098" w:type="dxa"/>
          </w:tcPr>
          <w:p w14:paraId="22585051" w14:textId="4DED5221" w:rsidR="00FC3A12" w:rsidRPr="008A07DE" w:rsidRDefault="008A07DE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07DE">
              <w:rPr>
                <w:rFonts w:ascii="Arial" w:hAnsi="Arial" w:cs="Arial"/>
                <w:sz w:val="22"/>
                <w:szCs w:val="22"/>
              </w:rPr>
              <w:t>Projected percentage of RSF grant invested in management and administration of research enterprise: $450,870 (48%)</w:t>
            </w:r>
          </w:p>
          <w:p w14:paraId="7E73947D" w14:textId="77777777" w:rsidR="008A07DE" w:rsidRPr="008A07DE" w:rsidRDefault="008A07DE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</w:tcPr>
          <w:p w14:paraId="3314726D" w14:textId="0993C498" w:rsidR="00FC3A12" w:rsidRPr="008A07DE" w:rsidRDefault="008A07DE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07DE">
              <w:rPr>
                <w:rFonts w:ascii="Arial" w:hAnsi="Arial" w:cs="Arial"/>
                <w:sz w:val="22"/>
                <w:szCs w:val="22"/>
              </w:rPr>
              <w:t>Continue providing competent research facilitation and management support (proposal writing, pre- and post-grant management, research services support, finance support) to faculty and students applying to and holding external awards</w:t>
            </w:r>
            <w:r w:rsidRPr="008A07DE">
              <w:rPr>
                <w:rFonts w:ascii="Arial" w:hAnsi="Arial" w:cs="Arial"/>
                <w:sz w:val="22"/>
                <w:szCs w:val="22"/>
              </w:rPr>
              <w:br/>
            </w:r>
            <w:r w:rsidRPr="008A07DE">
              <w:rPr>
                <w:rFonts w:ascii="Arial" w:hAnsi="Arial" w:cs="Arial"/>
                <w:sz w:val="22"/>
                <w:szCs w:val="22"/>
              </w:rPr>
              <w:br/>
              <w:t>Maintenance of electronic grants management system (Romeo)</w:t>
            </w:r>
          </w:p>
        </w:tc>
        <w:tc>
          <w:tcPr>
            <w:tcW w:w="2268" w:type="dxa"/>
          </w:tcPr>
          <w:p w14:paraId="3276928B" w14:textId="034AA903" w:rsidR="00FC3A12" w:rsidRPr="008A07DE" w:rsidRDefault="008A07DE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07DE">
              <w:rPr>
                <w:rFonts w:ascii="Arial" w:hAnsi="Arial" w:cs="Arial"/>
                <w:sz w:val="22"/>
                <w:szCs w:val="22"/>
              </w:rPr>
              <w:t>Number of external grant applications submitted and processed for setting financial accounts</w:t>
            </w:r>
            <w:r w:rsidRPr="008A07DE">
              <w:rPr>
                <w:rFonts w:ascii="Arial" w:hAnsi="Arial" w:cs="Arial"/>
                <w:sz w:val="22"/>
                <w:szCs w:val="22"/>
              </w:rPr>
              <w:br/>
            </w:r>
            <w:r w:rsidRPr="008A07DE">
              <w:rPr>
                <w:rFonts w:ascii="Arial" w:hAnsi="Arial" w:cs="Arial"/>
                <w:sz w:val="22"/>
                <w:szCs w:val="22"/>
              </w:rPr>
              <w:br/>
              <w:t>Number of active accounts</w:t>
            </w:r>
          </w:p>
        </w:tc>
        <w:tc>
          <w:tcPr>
            <w:tcW w:w="2268" w:type="dxa"/>
          </w:tcPr>
          <w:p w14:paraId="09E0BB43" w14:textId="4893453F" w:rsidR="00FC3A12" w:rsidRPr="008A07DE" w:rsidRDefault="008A07DE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07DE">
              <w:rPr>
                <w:rFonts w:ascii="Arial" w:hAnsi="Arial" w:cs="Arial"/>
                <w:sz w:val="22"/>
                <w:szCs w:val="22"/>
              </w:rPr>
              <w:t>Effectively support the operations of research administration and management leading to the growth of research</w:t>
            </w:r>
            <w:r w:rsidRPr="008A07DE">
              <w:rPr>
                <w:rFonts w:ascii="Arial" w:hAnsi="Arial" w:cs="Arial"/>
                <w:sz w:val="22"/>
                <w:szCs w:val="22"/>
              </w:rPr>
              <w:br/>
            </w:r>
            <w:r w:rsidRPr="008A07DE">
              <w:rPr>
                <w:rFonts w:ascii="Arial" w:hAnsi="Arial" w:cs="Arial"/>
                <w:sz w:val="22"/>
                <w:szCs w:val="22"/>
              </w:rPr>
              <w:br/>
              <w:t>Effective management of grants and awards</w:t>
            </w:r>
          </w:p>
        </w:tc>
      </w:tr>
      <w:tr w:rsidR="00FC3A12" w14:paraId="21162AE6" w14:textId="77777777" w:rsidTr="008A07DE">
        <w:tc>
          <w:tcPr>
            <w:tcW w:w="1791" w:type="dxa"/>
          </w:tcPr>
          <w:p w14:paraId="0240E823" w14:textId="05EC57C5" w:rsidR="00FC3A12" w:rsidRPr="00FC3A12" w:rsidRDefault="00FC3A12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3A12">
              <w:rPr>
                <w:rFonts w:ascii="Arial" w:hAnsi="Arial" w:cs="Arial"/>
                <w:sz w:val="22"/>
                <w:szCs w:val="22"/>
              </w:rPr>
              <w:lastRenderedPageBreak/>
              <w:t>Regulatory Requirements and Accreditation</w:t>
            </w:r>
          </w:p>
        </w:tc>
        <w:tc>
          <w:tcPr>
            <w:tcW w:w="3098" w:type="dxa"/>
          </w:tcPr>
          <w:p w14:paraId="0F163D31" w14:textId="58A1B0C0" w:rsidR="00FC3A12" w:rsidRPr="008A07DE" w:rsidRDefault="008A07DE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07DE">
              <w:rPr>
                <w:rFonts w:ascii="Arial" w:hAnsi="Arial" w:cs="Arial"/>
                <w:sz w:val="22"/>
                <w:szCs w:val="22"/>
              </w:rPr>
              <w:t>Projected percentage of RSF grant invested in supporting regulatory requirements and accreditation: $84,838 (9%)</w:t>
            </w:r>
          </w:p>
        </w:tc>
        <w:tc>
          <w:tcPr>
            <w:tcW w:w="3050" w:type="dxa"/>
          </w:tcPr>
          <w:p w14:paraId="01A402FA" w14:textId="08D3F696" w:rsidR="00FC3A12" w:rsidRPr="008A07DE" w:rsidRDefault="008A07DE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07DE">
              <w:rPr>
                <w:rFonts w:ascii="Arial" w:hAnsi="Arial" w:cs="Arial"/>
                <w:sz w:val="22"/>
                <w:szCs w:val="22"/>
              </w:rPr>
              <w:t>Maintain compliance with regulatory requirements</w:t>
            </w:r>
          </w:p>
          <w:p w14:paraId="6336364D" w14:textId="77777777" w:rsidR="008A07DE" w:rsidRPr="008A07DE" w:rsidRDefault="008A07DE" w:rsidP="008A07DE">
            <w:pPr>
              <w:ind w:firstLine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1CE0CFA" w14:textId="2B570D7A" w:rsidR="00FC3A12" w:rsidRPr="008A07DE" w:rsidRDefault="008A07DE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07DE">
              <w:rPr>
                <w:rFonts w:ascii="Arial" w:hAnsi="Arial" w:cs="Arial"/>
                <w:sz w:val="22"/>
                <w:szCs w:val="22"/>
              </w:rPr>
              <w:t>Maintaining good standing with Canadian Council on Animal Care (CCAC) guidelines</w:t>
            </w:r>
            <w:r w:rsidRPr="008A07DE">
              <w:rPr>
                <w:rFonts w:ascii="Arial" w:hAnsi="Arial" w:cs="Arial"/>
                <w:sz w:val="22"/>
                <w:szCs w:val="22"/>
              </w:rPr>
              <w:br/>
            </w:r>
            <w:r w:rsidRPr="008A07DE">
              <w:rPr>
                <w:rFonts w:ascii="Arial" w:hAnsi="Arial" w:cs="Arial"/>
                <w:sz w:val="22"/>
                <w:szCs w:val="22"/>
              </w:rPr>
              <w:br/>
              <w:t>Number of active Animal Use Protocols and Human Ethics projects</w:t>
            </w:r>
          </w:p>
        </w:tc>
        <w:tc>
          <w:tcPr>
            <w:tcW w:w="2268" w:type="dxa"/>
          </w:tcPr>
          <w:p w14:paraId="10B6A1BF" w14:textId="77C95DD0" w:rsidR="00FC3A12" w:rsidRPr="008A07DE" w:rsidRDefault="008A07DE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07DE">
              <w:rPr>
                <w:rFonts w:ascii="Arial" w:hAnsi="Arial" w:cs="Arial"/>
                <w:sz w:val="22"/>
                <w:szCs w:val="22"/>
              </w:rPr>
              <w:t>100% compliance with Tri-Council Policy Statement (TCPS2) and CCAC</w:t>
            </w:r>
          </w:p>
          <w:p w14:paraId="2F19BD66" w14:textId="77777777" w:rsidR="008A07DE" w:rsidRPr="008A07DE" w:rsidRDefault="008A07DE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D4A6F7" w14:textId="77777777" w:rsidR="008A07DE" w:rsidRPr="008A07DE" w:rsidRDefault="008A07DE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3A12" w14:paraId="65474BAD" w14:textId="77777777" w:rsidTr="008A07DE">
        <w:tc>
          <w:tcPr>
            <w:tcW w:w="1791" w:type="dxa"/>
          </w:tcPr>
          <w:p w14:paraId="2640BA00" w14:textId="23059200" w:rsidR="00FC3A12" w:rsidRPr="00FC3A12" w:rsidRDefault="00FC3A12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3A12">
              <w:rPr>
                <w:rFonts w:ascii="Arial" w:hAnsi="Arial" w:cs="Arial"/>
                <w:sz w:val="22"/>
                <w:szCs w:val="22"/>
              </w:rPr>
              <w:t>Intellectual Property (IP)</w:t>
            </w:r>
          </w:p>
        </w:tc>
        <w:tc>
          <w:tcPr>
            <w:tcW w:w="3098" w:type="dxa"/>
          </w:tcPr>
          <w:p w14:paraId="1C2C5E5B" w14:textId="5FC31E91" w:rsidR="00FC3A12" w:rsidRPr="008A07DE" w:rsidRDefault="008A07DE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07DE">
              <w:rPr>
                <w:rFonts w:ascii="Arial" w:hAnsi="Arial" w:cs="Arial"/>
                <w:sz w:val="22"/>
                <w:szCs w:val="22"/>
              </w:rPr>
              <w:t>Projected percentage of RSF grant invested in supporting IP development and management: $39,506 (4%)</w:t>
            </w:r>
          </w:p>
        </w:tc>
        <w:tc>
          <w:tcPr>
            <w:tcW w:w="3050" w:type="dxa"/>
          </w:tcPr>
          <w:p w14:paraId="6D2C800E" w14:textId="09686867" w:rsidR="00FC3A12" w:rsidRPr="008A07DE" w:rsidRDefault="008A07DE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07DE">
              <w:rPr>
                <w:rFonts w:ascii="Arial" w:hAnsi="Arial" w:cs="Arial"/>
                <w:sz w:val="22"/>
                <w:szCs w:val="22"/>
              </w:rPr>
              <w:t>Continued support for faculty, students and community for collaboration, innovation, and entrepreneurship</w:t>
            </w:r>
          </w:p>
        </w:tc>
        <w:tc>
          <w:tcPr>
            <w:tcW w:w="2268" w:type="dxa"/>
          </w:tcPr>
          <w:p w14:paraId="544E3B62" w14:textId="2302EB51" w:rsidR="00FC3A12" w:rsidRPr="008A07DE" w:rsidRDefault="008A07DE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07DE">
              <w:rPr>
                <w:rFonts w:ascii="Arial" w:hAnsi="Arial" w:cs="Arial"/>
                <w:sz w:val="22"/>
                <w:szCs w:val="22"/>
              </w:rPr>
              <w:t>Improved services for the administration of agreements and partnerships with external stakeholders</w:t>
            </w:r>
          </w:p>
          <w:p w14:paraId="5F397F5D" w14:textId="77777777" w:rsidR="008A07DE" w:rsidRPr="008A07DE" w:rsidRDefault="008A07DE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323F0F" w14:textId="77777777" w:rsidR="008A07DE" w:rsidRPr="008A07DE" w:rsidRDefault="008A07DE" w:rsidP="008A07DE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8A07DE">
              <w:rPr>
                <w:rFonts w:ascii="Arial" w:hAnsi="Arial" w:cs="Arial"/>
                <w:color w:val="222222"/>
                <w:sz w:val="22"/>
                <w:szCs w:val="22"/>
              </w:rPr>
              <w:t>To maintain / increase the research collaborations and partnerships with external stakeholders</w:t>
            </w:r>
          </w:p>
          <w:p w14:paraId="5789F592" w14:textId="77777777" w:rsidR="00FC3A12" w:rsidRPr="008A07DE" w:rsidRDefault="00FC3A12" w:rsidP="008A07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D7EA60" w14:textId="77777777" w:rsidR="008A07DE" w:rsidRPr="008A07DE" w:rsidRDefault="008A07DE" w:rsidP="008A07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8E84E5" w14:textId="77777777" w:rsidR="00FC3A12" w:rsidRPr="00FC3A12" w:rsidRDefault="00FC3A12" w:rsidP="008A07DE">
      <w:pPr>
        <w:jc w:val="center"/>
        <w:rPr>
          <w:rFonts w:ascii="Arial" w:hAnsi="Arial" w:cs="Arial"/>
          <w:b/>
          <w:bCs/>
        </w:rPr>
      </w:pPr>
    </w:p>
    <w:p w14:paraId="22ADDD2D" w14:textId="77777777" w:rsidR="0082626A" w:rsidRDefault="0082626A" w:rsidP="008A07DE">
      <w:pPr>
        <w:jc w:val="center"/>
      </w:pPr>
    </w:p>
    <w:sectPr w:rsidR="0082626A" w:rsidSect="008A07D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12"/>
    <w:rsid w:val="0082626A"/>
    <w:rsid w:val="008A07DE"/>
    <w:rsid w:val="00C156A1"/>
    <w:rsid w:val="00E3588C"/>
    <w:rsid w:val="00F90A42"/>
    <w:rsid w:val="00FC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4DDB3"/>
  <w15:chartTrackingRefBased/>
  <w15:docId w15:val="{34294851-F377-4E30-9EE2-33675631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A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3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Adebayo</dc:creator>
  <cp:keywords/>
  <dc:description/>
  <cp:lastModifiedBy>Juliet Adebayo</cp:lastModifiedBy>
  <cp:revision>1</cp:revision>
  <dcterms:created xsi:type="dcterms:W3CDTF">2026-06-05T17:36:00Z</dcterms:created>
  <dcterms:modified xsi:type="dcterms:W3CDTF">2026-06-05T17:52:00Z</dcterms:modified>
</cp:coreProperties>
</file>